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3660BD" w:rsidRPr="00173703" w14:paraId="4C4E6E70" w14:textId="77777777" w:rsidTr="00432A71">
        <w:trPr>
          <w:trHeight w:val="423"/>
        </w:trPr>
        <w:tc>
          <w:tcPr>
            <w:tcW w:w="3681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9781" w:type="dxa"/>
          </w:tcPr>
          <w:p w14:paraId="0B4E0CD1" w14:textId="31C2E115" w:rsidR="003660BD" w:rsidRPr="007525EC" w:rsidRDefault="0083425F" w:rsidP="00173703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Walking-related fatigability in persons with multiple sclerosis: Psychometric properties of cognitive and coordination fatigability assessment &amp; proof-of-concept of a rehabilitation intervention</w:t>
            </w:r>
          </w:p>
        </w:tc>
      </w:tr>
      <w:tr w:rsidR="006C1327" w:rsidRPr="006C1327" w14:paraId="52A1F7B4" w14:textId="77777777" w:rsidTr="00432A71">
        <w:trPr>
          <w:trHeight w:val="423"/>
        </w:trPr>
        <w:tc>
          <w:tcPr>
            <w:tcW w:w="3681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9781" w:type="dxa"/>
          </w:tcPr>
          <w:p w14:paraId="7E350230" w14:textId="79A9A3D8" w:rsidR="006C1327" w:rsidRPr="007525EC" w:rsidRDefault="006C1327" w:rsidP="00251C23">
            <w:pPr>
              <w:tabs>
                <w:tab w:val="left" w:pos="969"/>
              </w:tabs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032CA5" w:rsidRPr="00173703" w14:paraId="2F67CA0C" w14:textId="77777777" w:rsidTr="00432A71">
        <w:trPr>
          <w:trHeight w:val="423"/>
        </w:trPr>
        <w:tc>
          <w:tcPr>
            <w:tcW w:w="3681" w:type="dxa"/>
          </w:tcPr>
          <w:p w14:paraId="08BBEDB0" w14:textId="1966D2E3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Aim of the study</w:t>
            </w:r>
          </w:p>
        </w:tc>
        <w:tc>
          <w:tcPr>
            <w:tcW w:w="9781" w:type="dxa"/>
          </w:tcPr>
          <w:p w14:paraId="32B204F3" w14:textId="15F00C9B" w:rsidR="0083425F" w:rsidRPr="0083425F" w:rsidRDefault="0083425F" w:rsidP="0083425F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T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o examine the psychometric properties (discriminative validity, reliability) of a new measurement method of interlimb coordination using a bipedal coordination task, and of cognitive fatigability.  </w:t>
            </w:r>
          </w:p>
          <w:p w14:paraId="2C9A1D6E" w14:textId="4049684F" w:rsidR="00032CA5" w:rsidRPr="0083425F" w:rsidRDefault="0083425F" w:rsidP="0083425F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T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o investigate the effect of an eight-week choreo-based dance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intervention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compared to an active sham intervention on fatigability and fatigue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.</w:t>
            </w:r>
          </w:p>
        </w:tc>
      </w:tr>
      <w:tr w:rsidR="003660BD" w:rsidRPr="00BB48AB" w14:paraId="659622BD" w14:textId="77777777" w:rsidTr="00432A71">
        <w:trPr>
          <w:trHeight w:val="389"/>
        </w:trPr>
        <w:tc>
          <w:tcPr>
            <w:tcW w:w="3681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77C1368D" w14:textId="77777777" w:rsidR="003660BD" w:rsidRDefault="003660BD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(max 200 word</w:t>
            </w:r>
            <w:r w:rsidR="006C1327" w:rsidRPr="00032CA5">
              <w:rPr>
                <w:rFonts w:ascii="Calibri" w:hAnsi="Calibri" w:cs="Arial"/>
                <w:sz w:val="24"/>
                <w:szCs w:val="24"/>
                <w:lang w:val="en-GB"/>
              </w:rPr>
              <w:t>s</w:t>
            </w: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  <w:p w14:paraId="0CB536B3" w14:textId="22BD2C20" w:rsidR="00032CA5" w:rsidRPr="00032CA5" w:rsidRDefault="00032CA5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2"/>
                <w:szCs w:val="24"/>
                <w:lang w:val="en-GB"/>
              </w:rPr>
              <w:t>(inclusion/exclusion criteria, intervention(s), outcomes)</w:t>
            </w:r>
          </w:p>
        </w:tc>
        <w:tc>
          <w:tcPr>
            <w:tcW w:w="9781" w:type="dxa"/>
          </w:tcPr>
          <w:p w14:paraId="359FA6CF" w14:textId="2292B1EE" w:rsidR="003660BD" w:rsidRDefault="0083425F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Part A 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is a case-controlled observational study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and 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consists of 2 test sessions, separated by 5-7 days of interval  (2 hours each)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. Testing includes 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walking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,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coordination,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cognitive 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and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 w:rsid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hand function test. Questionnaires related to fatigue, physical activity, sleep quality will be completed and an activity tracker will be worn during 5-7 days.</w:t>
            </w:r>
          </w:p>
          <w:p w14:paraId="5115DEE1" w14:textId="3EC83061" w:rsidR="00BB48AB" w:rsidRPr="00BB48AB" w:rsidRDefault="00BB48AB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Part B 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is a pilot randomized controlled trial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and includes people with MS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presenting walking fatigability. The participants will be randomly allocated to the </w:t>
            </w:r>
            <w:r w:rsidR="0042679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dance therapy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group or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the </w:t>
            </w:r>
            <w:r w:rsidR="0042679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movement therapy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group</w:t>
            </w:r>
            <w:r w:rsidR="0042679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.</w:t>
            </w:r>
          </w:p>
          <w:p w14:paraId="6441332F" w14:textId="77777777" w:rsidR="00BB48AB" w:rsidRDefault="00BB48AB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Interventions take place in groups of 3 or 4 people with MS, twice a week for eight weeks, complementary to their usual care or conventional physiotherapy.</w:t>
            </w:r>
          </w:p>
          <w:p w14:paraId="3E9A1DC2" w14:textId="60528093" w:rsidR="00BB48AB" w:rsidRPr="00BB48AB" w:rsidRDefault="00BB48AB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Inclusion criteria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people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with MS (part A &amp; B): age between 35 and 65 years old; a diagnosis of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MS, 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ability to walk for 6 minutes without rest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.</w:t>
            </w:r>
          </w:p>
          <w:p w14:paraId="2E2A67C8" w14:textId="77777777" w:rsidR="00BB48AB" w:rsidRDefault="00BB48AB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Exclusion criteria (part A &amp; B):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recent relapse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,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cognitive impairment hindering unde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rstanding of study instructions</w:t>
            </w:r>
            <w:r w:rsidRPr="00BB48A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, pregnancy and musculoskeletal disorders in the lower limbs not related to MS.  </w:t>
            </w:r>
          </w:p>
          <w:p w14:paraId="1F00324B" w14:textId="7D61421D" w:rsidR="00DC109B" w:rsidRPr="007525EC" w:rsidRDefault="00DC109B" w:rsidP="00DC109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The primary outcome will be walking fatigability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, s</w:t>
            </w: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econdary outcomes include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walking ability</w:t>
            </w: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, cognitive function,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self-reported </w:t>
            </w: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walking ability and perceived fatigue.</w:t>
            </w:r>
          </w:p>
        </w:tc>
      </w:tr>
      <w:tr w:rsidR="003660BD" w:rsidRPr="006C1327" w14:paraId="0A6E8544" w14:textId="77777777" w:rsidTr="00432A71">
        <w:trPr>
          <w:trHeight w:val="389"/>
        </w:trPr>
        <w:tc>
          <w:tcPr>
            <w:tcW w:w="3681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9781" w:type="dxa"/>
          </w:tcPr>
          <w:p w14:paraId="457A9337" w14:textId="4AD9B6BF" w:rsidR="003660BD" w:rsidRPr="007525EC" w:rsidRDefault="003660BD" w:rsidP="00237215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er</w:t>
            </w:r>
          </w:p>
        </w:tc>
      </w:tr>
      <w:tr w:rsidR="00B03818" w:rsidRPr="00251C23" w14:paraId="5988D49F" w14:textId="77777777" w:rsidTr="00432A71">
        <w:trPr>
          <w:trHeight w:val="415"/>
        </w:trPr>
        <w:tc>
          <w:tcPr>
            <w:tcW w:w="3681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781" w:type="dxa"/>
          </w:tcPr>
          <w:p w14:paraId="1E3E5D2A" w14:textId="1FC453F7" w:rsidR="00B03818" w:rsidRPr="007525EC" w:rsidRDefault="00DC109B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12</w:t>
            </w:r>
            <w:r w:rsidR="00510054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months</w:t>
            </w:r>
          </w:p>
        </w:tc>
      </w:tr>
      <w:tr w:rsidR="00032CA5" w:rsidRPr="00510054" w14:paraId="51E32494" w14:textId="77777777" w:rsidTr="00432A71">
        <w:trPr>
          <w:trHeight w:val="415"/>
        </w:trPr>
        <w:tc>
          <w:tcPr>
            <w:tcW w:w="3681" w:type="dxa"/>
          </w:tcPr>
          <w:p w14:paraId="10874B1E" w14:textId="2F2B029B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Anticipated number of participants</w:t>
            </w:r>
          </w:p>
        </w:tc>
        <w:tc>
          <w:tcPr>
            <w:tcW w:w="9781" w:type="dxa"/>
          </w:tcPr>
          <w:p w14:paraId="2E36FB7A" w14:textId="7A751D74" w:rsidR="0083425F" w:rsidRDefault="0083425F" w:rsidP="00510054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Part A: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60 people</w:t>
            </w:r>
            <w:r w:rsidRPr="0083425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with Multiple Sclerosis (pwMS) and 30 healthy controls. </w:t>
            </w:r>
          </w:p>
          <w:p w14:paraId="31598229" w14:textId="255BF53B" w:rsidR="00032CA5" w:rsidRPr="007525EC" w:rsidRDefault="00BB48AB" w:rsidP="00BB48A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Part B: 24 people with MS</w:t>
            </w:r>
          </w:p>
        </w:tc>
      </w:tr>
      <w:tr w:rsidR="00C725DE" w:rsidRPr="006C1327" w14:paraId="191DE53A" w14:textId="77777777" w:rsidTr="00432A71">
        <w:trPr>
          <w:trHeight w:val="389"/>
        </w:trPr>
        <w:tc>
          <w:tcPr>
            <w:tcW w:w="3681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9781" w:type="dxa"/>
          </w:tcPr>
          <w:p w14:paraId="664250AD" w14:textId="16463124" w:rsidR="00C725DE" w:rsidRPr="007525EC" w:rsidRDefault="00F4738C" w:rsidP="00DC109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01/09</w:t>
            </w:r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/202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</w:t>
            </w:r>
          </w:p>
        </w:tc>
      </w:tr>
      <w:tr w:rsidR="00C725DE" w:rsidRPr="00173703" w14:paraId="5660B460" w14:textId="77777777" w:rsidTr="00432A71">
        <w:trPr>
          <w:trHeight w:val="389"/>
        </w:trPr>
        <w:tc>
          <w:tcPr>
            <w:tcW w:w="3681" w:type="dxa"/>
          </w:tcPr>
          <w:p w14:paraId="2AEF9686" w14:textId="04CB382B" w:rsidR="00C725DE" w:rsidRPr="006C1327" w:rsidRDefault="003F5F66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Recruitment possible until</w:t>
            </w:r>
          </w:p>
        </w:tc>
        <w:tc>
          <w:tcPr>
            <w:tcW w:w="9781" w:type="dxa"/>
          </w:tcPr>
          <w:p w14:paraId="446E4BDA" w14:textId="2FD37CCB" w:rsidR="00C725DE" w:rsidRPr="007525EC" w:rsidRDefault="003F5F66" w:rsidP="00386DCF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End date of recruitment (</w:t>
            </w:r>
            <w:r w:rsid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</w:t>
            </w:r>
            <w:r w:rsidR="00386DC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</w:t>
            </w:r>
            <w:bookmarkStart w:id="0" w:name="_GoBack"/>
            <w:bookmarkEnd w:id="0"/>
            <w:r w:rsidR="00F4738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/0</w:t>
            </w:r>
            <w:r w:rsidR="00386DCF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8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 w:rsidR="009E41E8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202</w:t>
            </w:r>
            <w:r w:rsid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)</w:t>
            </w:r>
          </w:p>
        </w:tc>
      </w:tr>
      <w:tr w:rsidR="00097021" w:rsidRPr="00DC109B" w14:paraId="3E865905" w14:textId="77777777" w:rsidTr="00432A71">
        <w:trPr>
          <w:trHeight w:val="389"/>
        </w:trPr>
        <w:tc>
          <w:tcPr>
            <w:tcW w:w="3681" w:type="dxa"/>
          </w:tcPr>
          <w:p w14:paraId="5F9907FB" w14:textId="2D9DAE27" w:rsidR="00097021" w:rsidRPr="006C1327" w:rsidRDefault="00032CA5" w:rsidP="00032CA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Interest</w:t>
            </w:r>
            <w:r w:rsidR="003F5F66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in participating?</w:t>
            </w:r>
          </w:p>
        </w:tc>
        <w:tc>
          <w:tcPr>
            <w:tcW w:w="9781" w:type="dxa"/>
          </w:tcPr>
          <w:p w14:paraId="0CD4106A" w14:textId="2AD11854" w:rsidR="00097021" w:rsidRPr="00DC109B" w:rsidRDefault="006C1327" w:rsidP="00DC109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C</w:t>
            </w:r>
            <w:r w:rsidR="00E53CA7"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ontact</w:t>
            </w:r>
            <w:r w:rsidR="00251C23"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: </w:t>
            </w:r>
            <w:r w:rsidR="00DC109B"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Dr. Cintia Ramari (</w:t>
            </w:r>
            <w:hyperlink r:id="rId13" w:history="1">
              <w:r w:rsidR="00DC109B" w:rsidRPr="00DC109B">
                <w:rPr>
                  <w:rStyle w:val="Hyperlink"/>
                  <w:rFonts w:ascii="Calibri" w:hAnsi="Calibri"/>
                  <w:sz w:val="24"/>
                  <w:szCs w:val="24"/>
                  <w:lang w:val="en-US"/>
                </w:rPr>
                <w:t>cintia.ramariferreira@uhasselt.be</w:t>
              </w:r>
            </w:hyperlink>
            <w:r w:rsidR="00DC109B" w:rsidRPr="00DC109B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) </w:t>
            </w:r>
          </w:p>
        </w:tc>
      </w:tr>
      <w:tr w:rsidR="00032CA5" w:rsidRPr="00DC109B" w14:paraId="083440B6" w14:textId="77777777" w:rsidTr="00432A71">
        <w:trPr>
          <w:trHeight w:val="389"/>
        </w:trPr>
        <w:tc>
          <w:tcPr>
            <w:tcW w:w="3681" w:type="dxa"/>
          </w:tcPr>
          <w:p w14:paraId="42474759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4389074F" w14:textId="77777777" w:rsidR="00032CA5" w:rsidRPr="006C1327" w:rsidRDefault="00032CA5" w:rsidP="00CA6ABD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(name + affiliation)</w:t>
            </w:r>
          </w:p>
        </w:tc>
        <w:tc>
          <w:tcPr>
            <w:tcW w:w="9781" w:type="dxa"/>
          </w:tcPr>
          <w:p w14:paraId="7AEA43B4" w14:textId="56DA5BBB" w:rsidR="00032CA5" w:rsidRPr="00DC109B" w:rsidRDefault="00DC109B" w:rsidP="00DC109B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C109B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Prof. Dr. Peter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Feys</w:t>
            </w:r>
            <w:r w:rsidR="00251C23" w:rsidRPr="00DC109B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, Universiteit Hasselt</w:t>
            </w:r>
          </w:p>
        </w:tc>
      </w:tr>
      <w:tr w:rsidR="00032CA5" w:rsidRPr="009E41E8" w14:paraId="1E858D7A" w14:textId="77777777" w:rsidTr="00432A71">
        <w:trPr>
          <w:trHeight w:val="389"/>
        </w:trPr>
        <w:tc>
          <w:tcPr>
            <w:tcW w:w="3681" w:type="dxa"/>
          </w:tcPr>
          <w:p w14:paraId="57A34462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Local supervisor (NMSC)</w:t>
            </w:r>
          </w:p>
        </w:tc>
        <w:tc>
          <w:tcPr>
            <w:tcW w:w="9781" w:type="dxa"/>
          </w:tcPr>
          <w:p w14:paraId="2D833B45" w14:textId="2CF6A8BB" w:rsidR="00032CA5" w:rsidRPr="007525EC" w:rsidRDefault="00251C23" w:rsidP="00DC109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Prof. D</w:t>
            </w:r>
            <w:r w:rsidR="00DC109B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aphne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Kos</w:t>
            </w:r>
          </w:p>
        </w:tc>
      </w:tr>
    </w:tbl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4"/>
      <w:footerReference w:type="default" r:id="rId15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6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FA2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38C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C22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57039E"/>
    <w:multiLevelType w:val="hybridMultilevel"/>
    <w:tmpl w:val="938E4EE8"/>
    <w:lvl w:ilvl="0" w:tplc="621C45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2CA5"/>
    <w:rsid w:val="00035743"/>
    <w:rsid w:val="000409AD"/>
    <w:rsid w:val="00044384"/>
    <w:rsid w:val="00045830"/>
    <w:rsid w:val="00074552"/>
    <w:rsid w:val="0008046D"/>
    <w:rsid w:val="00083C7F"/>
    <w:rsid w:val="00087718"/>
    <w:rsid w:val="00097021"/>
    <w:rsid w:val="000B2F27"/>
    <w:rsid w:val="000D1673"/>
    <w:rsid w:val="000E37D7"/>
    <w:rsid w:val="000F58DF"/>
    <w:rsid w:val="000F76A5"/>
    <w:rsid w:val="00131BEA"/>
    <w:rsid w:val="00132412"/>
    <w:rsid w:val="00137C84"/>
    <w:rsid w:val="001600E9"/>
    <w:rsid w:val="001675EB"/>
    <w:rsid w:val="00173703"/>
    <w:rsid w:val="0018253A"/>
    <w:rsid w:val="00196CDA"/>
    <w:rsid w:val="001D13AE"/>
    <w:rsid w:val="001F00EB"/>
    <w:rsid w:val="001F0851"/>
    <w:rsid w:val="00220600"/>
    <w:rsid w:val="00233DD3"/>
    <w:rsid w:val="00235496"/>
    <w:rsid w:val="00251C23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86DCF"/>
    <w:rsid w:val="00395BD3"/>
    <w:rsid w:val="003B53CE"/>
    <w:rsid w:val="003B6ED5"/>
    <w:rsid w:val="003C0680"/>
    <w:rsid w:val="003E7AD2"/>
    <w:rsid w:val="003F5F66"/>
    <w:rsid w:val="00417C20"/>
    <w:rsid w:val="0042679F"/>
    <w:rsid w:val="00432A71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0054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525EC"/>
    <w:rsid w:val="00763DA1"/>
    <w:rsid w:val="007A5DAF"/>
    <w:rsid w:val="007B0DAF"/>
    <w:rsid w:val="007C5571"/>
    <w:rsid w:val="007E30A8"/>
    <w:rsid w:val="00804635"/>
    <w:rsid w:val="008220B4"/>
    <w:rsid w:val="0083425F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9E41E8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9D0"/>
    <w:rsid w:val="00B13D3D"/>
    <w:rsid w:val="00B141CA"/>
    <w:rsid w:val="00B141ED"/>
    <w:rsid w:val="00B15047"/>
    <w:rsid w:val="00B32585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B48AB"/>
    <w:rsid w:val="00BC47FD"/>
    <w:rsid w:val="00BE7D44"/>
    <w:rsid w:val="00C01869"/>
    <w:rsid w:val="00C60E16"/>
    <w:rsid w:val="00C61CC3"/>
    <w:rsid w:val="00C63363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109B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4738C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251C23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intia.ramariferreira@uhasselt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BA92A6-2753-47EC-A1B8-282C48C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2178</Characters>
  <Application>Microsoft Office Word</Application>
  <DocSecurity>0</DocSecurity>
  <Lines>54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7</cp:revision>
  <cp:lastPrinted>2019-01-24T15:41:00Z</cp:lastPrinted>
  <dcterms:created xsi:type="dcterms:W3CDTF">2021-05-18T07:17:00Z</dcterms:created>
  <dcterms:modified xsi:type="dcterms:W3CDTF">2021-05-18T09:12:00Z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